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TZOUMAKAS KIMBERLY JO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18000 STUDEBAKER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CERRITOS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29,116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46,301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(RSUs), each of which entitle the Reporting Person to receive one share of the Issuer's common stock upon settlement. The RSUs vest in full on the date of the Issuer's 2027 annual meeting of stockholders, subject to the Reporting Person's continued service with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Hueppelsheuser, Attorney-in-fact for Kimberly J. Tzoumakas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666"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3382</Characters>
  <CharactersWithSpaces>3936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